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platformaCRM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i w:val="1"/>
          <w:color w:val="595959"/>
          <w:sz w:val="36"/>
          <w:szCs w:val="36"/>
          <w:rtl w:val="0"/>
        </w:rPr>
        <w:t xml:space="preserve">Proces obchód techniczny i przegląd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i w:val="1"/>
          <w:color w:val="bfbfb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1"/>
          <w:color w:val="bfbfb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i w:val="1"/>
          <w:color w:val="bfbfb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Spis treści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40"/>
              <w:tab w:val="right" w:leader="dot" w:pos="9062"/>
            </w:tabs>
            <w:spacing w:after="100" w:before="0" w:line="264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heading=h.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hyperlink>
          <w:hyperlink w:anchor="_heading=h.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_heading=h.gjdgxs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1"/>
              <w:szCs w:val="21"/>
              <w:u w:val="none"/>
              <w:shd w:fill="auto" w:val="clear"/>
              <w:vertAlign w:val="baseline"/>
              <w:rtl w:val="0"/>
            </w:rPr>
            <w:t xml:space="preserve">Elementy systemu</w:t>
            <w:tab/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40"/>
              <w:tab w:val="right" w:leader="dot" w:pos="9062"/>
            </w:tabs>
            <w:spacing w:after="100" w:before="0" w:line="264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hyperlink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_heading=h.30j0zll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1"/>
              <w:szCs w:val="21"/>
              <w:u w:val="none"/>
              <w:shd w:fill="auto" w:val="clear"/>
              <w:vertAlign w:val="baseline"/>
              <w:rtl w:val="0"/>
            </w:rPr>
            <w:t xml:space="preserve">Obchod techniczny/Czytnik/GETAC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rPr/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A">
      <w:pPr>
        <w:rPr>
          <w:rFonts w:ascii="Calibri" w:cs="Calibri" w:eastAsia="Calibri" w:hAnsi="Calibri"/>
          <w:color w:val="2e75b5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color w:val="2e75b5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numPr>
          <w:ilvl w:val="0"/>
          <w:numId w:val="1"/>
        </w:numPr>
        <w:ind w:left="432" w:hanging="432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Elementy systemu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Urządzenie - nowe informacje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średni czas pracy maszyny tygodniowo w motogodzinach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interwał czasowy w dniach, co jaki powinien być wykonany przegląd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ilość motogodzin, co ile powinien być wykonany przegląd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 ile dni będą spisywane motogodizny (jeśli nie wprowadzone to liczba pobierana z ustawienia globalnego)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 ile dni przed przeglądem system powinien wyróżnić urządzenie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/>
        <w:drawing>
          <wp:inline distB="0" distT="0" distL="0" distR="0">
            <wp:extent cx="5753100" cy="895350"/>
            <wp:effectExtent b="0" l="0" r="0" t="0"/>
            <wp:docPr id="1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895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Możliwość zarejestrowania motogodzin z datą dla urządzenia (w zakładce motogodziny w szczegółach urządzenia). Uprawnienie motohours_edithours pozwala na zmianę daty spisania motogodzin.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5753100" cy="1238250"/>
            <wp:effectExtent b="0" l="0" r="0" t="0"/>
            <wp:docPr id="15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23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Możliwość rejestracji zaplanowanych przeglądów w harmonogramie (w zakładce harmonogram serwisowy w szczegółach urządzenia)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5760720" cy="1828800"/>
            <wp:effectExtent b="0" l="0" r="0" t="0"/>
            <wp:docPr id="1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Lista urządzeń z niewystarczającymi informacjami do obliczenia następnej daty przeglądu (w menu „Urządzenia” wybieramy „Urządzenia - niewystarczające informacje do wyznaczenia daty przeglądu”)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Lista urządzeń, które będą wymagały przeglądu (w menu „Urządzenia” wybieramy „Urządzenia - Wymagające przeglądu”)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5966848" cy="991297"/>
            <wp:effectExtent b="0" l="0" r="0" t="0"/>
            <wp:docPr id="1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6848" cy="9912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 czerwono te które już są po dacie kiedy powinno się zrobić przegląd a przeglądu nie było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 zielono te zbliżające się jeśli ustawiono na urządzeniu informację o tym na ile dni przed wyróżniać urządzenie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Liczymy od daty zamknięcia ostatniego zlecenia serwisowego o typie „Przegląd” lub jeśli takiego brak to od daty dodania urządzenia do systemu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Liczymy na podstawie informacji podanych na urządzeniu oraz uwzględniamy harmonogram zaplanowanych przeglądów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Wyświetlamy numer zlecenia serwisowego „Przegląd” otwartego oraz datę otwarcia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Urządzenie pojawia się w liście gdy zachodzi jeden z poniższych warunków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084" w:right="0" w:hanging="18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Dodany jest wpis do harmonogramu dla którego nie zamknięto jeszcze zlecenia lub wcale go nie utworzono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3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0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Data następnego przeglądu w tym przypadku to ustalona data przeglądu w harmonogramie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084" w:right="0" w:hanging="18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Uzupełnione są oba pola: „średni czas pracy maszyny tygodniowo w motogodzinach” oraz „przegląd co ile motogodzin”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3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0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 tym przypadku liczymy wartość X czyli dni od daty ostatniego spisania lub od daty dodania urządzenia, które liczymy tak:</w:t>
        <w:br w:type="textWrapping"/>
        <w:t xml:space="preserve">X=FLOOR((CSMTH + Delta - MTH)/WEEKRATE*7) gdzie CSMTH to ilośc motogodzin przy zamykaniu poprzedniego przeglądu (lub 0), Delta to ilość motogodzin co ile się ma robić przegląd, MTH to faktycznie spisane motogodziny (lub 0) a WEEKRATE to przeciętna tygodniowa ilość motogodzin. FLOOR to funkcja która obcina część ułamkową z liczby. Tak wyliczoną ilość dni dodaje się do daty zamknięcia poprzedniego przeglądu lub jeśli takiego nie było do daty dodania urządzenia do systemu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084" w:right="0" w:hanging="18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Uzupełnione jest pole „przegląd po ilu dniach”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3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0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Data następnego przeglądu jest wyliczona poprzez dodanie ilości dni po których powinien być przegląd do daty zamknięcia poprzedniego przeglądu lub jeśli takiego nie było do daty dodania urządzenia do systemu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084" w:right="0" w:hanging="18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jeśli zachodzi punkt ii) oraz iii) to data jest wyliczana na podstawie punktu ii)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Lista urządzeń dla których trzeba zapisac motogodziny (w menu „Urządzenia” wybieramy „Urządzenia - do spisania motogodziny”)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5762625" cy="504825"/>
            <wp:effectExtent b="0" l="0" r="0" t="0"/>
            <wp:docPr id="1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04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Urządzenia są posortowane od najwcześniej spisanego do najpóźniej spisanego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Pojawiają się gdy wypełnione jest pole (co ile dni spisać motogodziny) na urządzeniu lub globalnie w systemie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Wyświetlamy datę kiedy najpóźniej powinno być spisane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Jeśli nie spisano już powyżej założonych dni w konfiguracji to urządzenie jest podświetlone na czerwono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Ustawienie globalne co ile dni powinny być spisane motogodziny (instance.service.daysAfterWorkingHoursAreNoted)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Zlecenia serwisowe – wymagane podanie motogodzin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przed zamknięciem zlecenia system będzie wymagał podania motogodzin jeśli nie ma uzupełnionych od dnia otwarcia zlecenia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36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będzie wymagał tylko jeśli uzupełniono pole co ile motogodzin robić przegląd lub co ile dni spisywać motogodziny na urządzeniu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System informuje, że urzadzenie jest na gwarancji przy zakladaniu zlecenia serwisowego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4848225" cy="885825"/>
            <wp:effectExtent b="0" l="0" r="0" t="0"/>
            <wp:docPr id="1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885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644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Dodany typ zlecenia dla szkód realizowanych przez ubezpieczyciela</w:t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432" w:hanging="432"/>
        <w:rPr>
          <w:b w:val="1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color w:val="2e75b5"/>
          <w:sz w:val="32"/>
          <w:szCs w:val="32"/>
          <w:rtl w:val="0"/>
        </w:rPr>
        <w:t xml:space="preserve">Obchod techniczny/Czytnik/GETAC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Dodano opcję wpisania motogodzin z czytnika dla urządzenia po zeskanowaniu kodu lub wprowadzeniu numeru fabrycznego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można skorygować na czytniku wpis z tego samego dnia, czyli jeśli zeskanujemy urządzenie dla którego był wpis danego dnia to pokazuje się ile było wpisane i można tę wartość zmienić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 czytniku spisujemy tylko z datą bieżącą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uprawnienie które pozwala dostać się do urządzenia poprzez numer „barcode_productBySerial”.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bookmarkStart w:colFirst="0" w:colLast="0" w:name="_heading=h.1fob9te" w:id="2"/>
      <w:bookmarkEnd w:id="2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Raport który pokaże „obchody”. Dostępny z menu „Urządzenia”, „Przeprowadzone obchody”. Wymaga użycia przycisku „Start”. Pokazuje: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datę dzienną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nazwę użytkownika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godzinę rozpoczęcia (godzina dodania pierwszego wpisu)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godzina zakończenia (godzina dodania ostatniego wpisu)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ilość urządzeń dla których wpisano motogodziny</w:t>
      </w:r>
    </w:p>
    <w:p w:rsidR="00000000" w:rsidDel="00000000" w:rsidP="00000000" w:rsidRDefault="00000000" w:rsidRPr="00000000" w14:paraId="0000003C">
      <w:pPr>
        <w:jc w:val="both"/>
        <w:rPr/>
      </w:pPr>
      <w:r w:rsidDel="00000000" w:rsidR="00000000" w:rsidRPr="00000000">
        <w:rPr/>
        <w:drawing>
          <wp:inline distB="0" distT="0" distL="0" distR="0">
            <wp:extent cx="5762625" cy="1181100"/>
            <wp:effectExtent b="0" l="0" r="0" t="0"/>
            <wp:docPr id="1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18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footerReference r:id="rId14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"/>
      <w:tblW w:w="9072.0" w:type="dxa"/>
      <w:jc w:val="center"/>
      <w:tblLayout w:type="fixed"/>
      <w:tblLook w:val="0400"/>
    </w:tblPr>
    <w:tblGrid>
      <w:gridCol w:w="4567"/>
      <w:gridCol w:w="4505"/>
      <w:tblGridChange w:id="0">
        <w:tblGrid>
          <w:gridCol w:w="4567"/>
          <w:gridCol w:w="4505"/>
        </w:tblGrid>
      </w:tblGridChange>
    </w:tblGrid>
    <w:tr>
      <w:trPr>
        <w:cantSplit w:val="0"/>
        <w:trHeight w:val="115" w:hRule="atLeast"/>
        <w:tblHeader w:val="0"/>
      </w:trPr>
      <w:tc>
        <w:tcPr>
          <w:shd w:fill="5b9bd5" w:val="clear"/>
          <w:tcMar>
            <w:top w:w="0.0" w:type="dxa"/>
            <w:bottom w:w="0.0" w:type="dxa"/>
          </w:tcMar>
        </w:tcPr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5b9bd5" w:val="clear"/>
          <w:tcMar>
            <w:top w:w="0.0" w:type="dxa"/>
            <w:bottom w:w="0.0" w:type="dxa"/>
          </w:tcMar>
        </w:tcPr>
        <w:p w:rsidR="00000000" w:rsidDel="00000000" w:rsidP="00000000" w:rsidRDefault="00000000" w:rsidRPr="00000000" w14:paraId="0000004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shd w:fill="auto" w:val="clear"/>
          <w:vAlign w:val="center"/>
        </w:tcPr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432" w:hanging="432"/>
      </w:pPr>
      <w:rPr/>
    </w:lvl>
    <w:lvl w:ilvl="1">
      <w:start w:val="1"/>
      <w:numFmt w:val="decimal"/>
      <w:lvlText w:val="%1.%2"/>
      <w:lvlJc w:val="left"/>
      <w:pPr>
        <w:ind w:left="576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644" w:hanging="359.99999999999994"/>
      </w:pPr>
      <w:rPr/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8"/>
        <w:szCs w:val="28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  <w:ind w:left="432" w:hanging="432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  <w:ind w:left="576" w:hanging="576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  <w:ind w:left="720" w:hanging="720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  <w:ind w:left="864" w:hanging="864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  <w:ind w:left="1008" w:hanging="1008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  <w:ind w:left="1152" w:hanging="1152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color w:val="2e75b5"/>
      <w:sz w:val="80"/>
      <w:szCs w:val="80"/>
    </w:rPr>
  </w:style>
  <w:style w:type="paragraph" w:styleId="Normal" w:default="1">
    <w:name w:val="Normal"/>
    <w:qFormat w:val="1"/>
    <w:rsid w:val="00D9797A"/>
    <w:rPr>
      <w:sz w:val="28"/>
      <w:szCs w:val="28"/>
      <w:lang w:eastAsia="pl-PL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D9797A"/>
    <w:pPr>
      <w:keepNext w:val="1"/>
      <w:keepLines w:val="1"/>
      <w:numPr>
        <w:numId w:val="1"/>
      </w:numPr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D9797A"/>
    <w:pPr>
      <w:keepNext w:val="1"/>
      <w:keepLines w:val="1"/>
      <w:numPr>
        <w:ilvl w:val="1"/>
        <w:numId w:val="1"/>
      </w:numPr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D9797A"/>
    <w:pPr>
      <w:keepNext w:val="1"/>
      <w:keepLines w:val="1"/>
      <w:numPr>
        <w:ilvl w:val="2"/>
        <w:numId w:val="1"/>
      </w:numPr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D9797A"/>
    <w:pPr>
      <w:keepNext w:val="1"/>
      <w:keepLines w:val="1"/>
      <w:numPr>
        <w:ilvl w:val="3"/>
        <w:numId w:val="1"/>
      </w:numPr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D9797A"/>
    <w:pPr>
      <w:keepNext w:val="1"/>
      <w:keepLines w:val="1"/>
      <w:numPr>
        <w:ilvl w:val="4"/>
        <w:numId w:val="1"/>
      </w:numPr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D9797A"/>
    <w:pPr>
      <w:keepNext w:val="1"/>
      <w:keepLines w:val="1"/>
      <w:numPr>
        <w:ilvl w:val="5"/>
        <w:numId w:val="1"/>
      </w:numPr>
      <w:spacing w:after="0" w:before="40"/>
      <w:outlineLvl w:val="5"/>
    </w:pPr>
    <w:rPr>
      <w:rFonts w:asciiTheme="majorHAnsi" w:cstheme="majorBidi" w:eastAsiaTheme="majorEastAsia" w:hAnsiTheme="majorHAnsi"/>
      <w:color w:val="1f4d78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D9797A"/>
    <w:pPr>
      <w:keepNext w:val="1"/>
      <w:keepLines w:val="1"/>
      <w:numPr>
        <w:ilvl w:val="6"/>
        <w:numId w:val="1"/>
      </w:numPr>
      <w:spacing w:after="0" w:before="40"/>
      <w:outlineLvl w:val="6"/>
    </w:pPr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D9797A"/>
    <w:pPr>
      <w:keepNext w:val="1"/>
      <w:keepLines w:val="1"/>
      <w:numPr>
        <w:ilvl w:val="7"/>
        <w:numId w:val="1"/>
      </w:numPr>
      <w:spacing w:after="0"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D9797A"/>
    <w:pPr>
      <w:keepNext w:val="1"/>
      <w:keepLines w:val="1"/>
      <w:numPr>
        <w:ilvl w:val="8"/>
        <w:numId w:val="1"/>
      </w:numPr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D9797A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eastAsia="pl-PL"/>
    </w:rPr>
  </w:style>
  <w:style w:type="character" w:styleId="Heading2Char" w:customStyle="1">
    <w:name w:val="Heading 2 Char"/>
    <w:basedOn w:val="DefaultParagraphFont"/>
    <w:link w:val="Heading2"/>
    <w:uiPriority w:val="9"/>
    <w:rsid w:val="00D9797A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pl-PL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D9797A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pl-PL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D9797A"/>
    <w:rPr>
      <w:rFonts w:asciiTheme="majorHAnsi" w:cstheme="majorBidi" w:eastAsiaTheme="majorEastAsia" w:hAnsiTheme="majorHAnsi"/>
      <w:i w:val="1"/>
      <w:iCs w:val="1"/>
      <w:color w:val="2e74b5" w:themeColor="accent1" w:themeShade="0000BF"/>
      <w:sz w:val="28"/>
      <w:szCs w:val="28"/>
      <w:lang w:eastAsia="pl-PL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D9797A"/>
    <w:rPr>
      <w:rFonts w:asciiTheme="majorHAnsi" w:cstheme="majorBidi" w:eastAsiaTheme="majorEastAsia" w:hAnsiTheme="majorHAnsi"/>
      <w:color w:val="2e74b5" w:themeColor="accent1" w:themeShade="0000BF"/>
      <w:sz w:val="28"/>
      <w:szCs w:val="28"/>
      <w:lang w:eastAsia="pl-PL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D9797A"/>
    <w:rPr>
      <w:rFonts w:asciiTheme="majorHAnsi" w:cstheme="majorBidi" w:eastAsiaTheme="majorEastAsia" w:hAnsiTheme="majorHAnsi"/>
      <w:color w:val="1f4d78" w:themeColor="accent1" w:themeShade="00007F"/>
      <w:sz w:val="28"/>
      <w:szCs w:val="28"/>
      <w:lang w:eastAsia="pl-PL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D9797A"/>
    <w:rPr>
      <w:rFonts w:asciiTheme="majorHAnsi" w:cstheme="majorBidi" w:eastAsiaTheme="majorEastAsia" w:hAnsiTheme="majorHAnsi"/>
      <w:i w:val="1"/>
      <w:iCs w:val="1"/>
      <w:color w:val="1f4d78" w:themeColor="accent1" w:themeShade="00007F"/>
      <w:sz w:val="28"/>
      <w:szCs w:val="28"/>
      <w:lang w:eastAsia="pl-PL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D9797A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pl-PL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D9797A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pl-PL"/>
    </w:rPr>
  </w:style>
  <w:style w:type="paragraph" w:styleId="Title">
    <w:name w:val="Title"/>
    <w:basedOn w:val="Normal"/>
    <w:next w:val="Normal"/>
    <w:link w:val="TitleChar"/>
    <w:uiPriority w:val="10"/>
    <w:qFormat w:val="1"/>
    <w:rsid w:val="00D9797A"/>
    <w:pPr>
      <w:spacing w:after="0" w:line="240" w:lineRule="auto"/>
      <w:contextualSpacing w:val="1"/>
    </w:pPr>
    <w:rPr>
      <w:rFonts w:asciiTheme="majorHAnsi" w:cstheme="majorBidi" w:eastAsiaTheme="majorEastAsia" w:hAnsiTheme="majorHAnsi"/>
      <w:color w:val="2e74b5" w:themeColor="accent1" w:themeShade="0000BF"/>
      <w:spacing w:val="-7"/>
      <w:sz w:val="80"/>
      <w:szCs w:val="80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D9797A"/>
    <w:rPr>
      <w:rFonts w:asciiTheme="majorHAnsi" w:cstheme="majorBidi" w:eastAsiaTheme="majorEastAsia" w:hAnsiTheme="majorHAnsi"/>
      <w:color w:val="2e74b5" w:themeColor="accent1" w:themeShade="0000BF"/>
      <w:spacing w:val="-7"/>
      <w:sz w:val="80"/>
      <w:szCs w:val="80"/>
      <w:lang w:eastAsia="pl-PL" w:val="en-US"/>
    </w:rPr>
  </w:style>
  <w:style w:type="character" w:styleId="SubtleEmphasis">
    <w:name w:val="Subtle Emphasis"/>
    <w:basedOn w:val="DefaultParagraphFont"/>
    <w:uiPriority w:val="19"/>
    <w:qFormat w:val="1"/>
    <w:rsid w:val="00D9797A"/>
    <w:rPr>
      <w:i w:val="1"/>
      <w:iCs w:val="1"/>
      <w:color w:val="595959" w:themeColor="text1" w:themeTint="0000A6"/>
    </w:rPr>
  </w:style>
  <w:style w:type="character" w:styleId="Hyperlink">
    <w:name w:val="Hyperlink"/>
    <w:basedOn w:val="DefaultParagraphFont"/>
    <w:uiPriority w:val="99"/>
    <w:unhideWhenUsed w:val="1"/>
    <w:rsid w:val="00D9797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D9797A"/>
    <w:pPr>
      <w:spacing w:after="100" w:line="264" w:lineRule="auto"/>
    </w:pPr>
    <w:rPr>
      <w:rFonts w:cstheme="minorHAnsi" w:eastAsiaTheme="minorEastAsia"/>
      <w:sz w:val="21"/>
      <w:szCs w:val="21"/>
      <w:lang w:val="en-US"/>
    </w:rPr>
  </w:style>
  <w:style w:type="paragraph" w:styleId="Header">
    <w:name w:val="header"/>
    <w:basedOn w:val="Normal"/>
    <w:link w:val="HeaderChar"/>
    <w:uiPriority w:val="99"/>
    <w:unhideWhenUsed w:val="1"/>
    <w:rsid w:val="00D9797A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9797A"/>
    <w:rPr>
      <w:sz w:val="28"/>
      <w:szCs w:val="28"/>
      <w:lang w:eastAsia="pl-PL"/>
    </w:rPr>
  </w:style>
  <w:style w:type="paragraph" w:styleId="Footer">
    <w:name w:val="footer"/>
    <w:basedOn w:val="Normal"/>
    <w:link w:val="FooterChar"/>
    <w:uiPriority w:val="99"/>
    <w:unhideWhenUsed w:val="1"/>
    <w:rsid w:val="00D9797A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9797A"/>
    <w:rPr>
      <w:sz w:val="28"/>
      <w:szCs w:val="28"/>
      <w:lang w:eastAsia="pl-PL"/>
    </w:rPr>
  </w:style>
  <w:style w:type="paragraph" w:styleId="ListParagraph">
    <w:name w:val="List Paragraph"/>
    <w:basedOn w:val="Normal"/>
    <w:uiPriority w:val="34"/>
    <w:qFormat w:val="1"/>
    <w:rsid w:val="00D9797A"/>
    <w:pPr>
      <w:ind w:left="720"/>
      <w:contextualSpacing w:val="1"/>
    </w:pPr>
  </w:style>
  <w:style w:type="character" w:styleId="nw" w:customStyle="1">
    <w:name w:val="nw"/>
    <w:basedOn w:val="DefaultParagraphFont"/>
    <w:rsid w:val="0070352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4.png"/><Relationship Id="rId13" Type="http://schemas.openxmlformats.org/officeDocument/2006/relationships/image" Target="media/image6.png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Mm04Nfw+Y5R1XlJFywKY188S/Q==">CgMxLjAyCGguZ2pkZ3hzMgloLjMwajB6bGwyCWguMWZvYjl0ZTgAciExNTFnNmF6SHgtdExhVmxKWHNpckVsYUplV3cyS1FLSUs=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2015-03-24T11:29:00Z</dcterms:created>
  <dc:creator>Adam Cieślakowski</dc:creator>
</cp:coreProperties>
</file>